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40B65" w14:textId="510E90B6" w:rsidR="00C35538" w:rsidRPr="00C35538" w:rsidRDefault="00C35538" w:rsidP="005E12FA">
      <w:pPr>
        <w:pStyle w:val="NormalWeb"/>
        <w:ind w:firstLine="0"/>
        <w:jc w:val="center"/>
        <w:rPr>
          <w:b/>
          <w:bCs/>
        </w:rPr>
      </w:pPr>
      <w:r w:rsidRPr="00C35538">
        <w:rPr>
          <w:b/>
          <w:bCs/>
        </w:rPr>
        <w:t>Instrumento</w:t>
      </w:r>
    </w:p>
    <w:p w14:paraId="76D62915" w14:textId="77777777" w:rsidR="00C35538" w:rsidRDefault="00C35538" w:rsidP="00C35538">
      <w:pPr>
        <w:pStyle w:val="NormalWeb"/>
      </w:pPr>
      <w:r>
        <w:t>El instrumento del modelo YELA se presenta como una rúbrica de evaluación que permite valorar cada RED a partir de ocho criterios. Cada criterio se califica en una escala de 1 a 5, de acuerdo con el nivel de cumplimiento observado.</w:t>
      </w:r>
    </w:p>
    <w:p w14:paraId="2894D031" w14:textId="347E1A89" w:rsidR="00C35538" w:rsidRPr="00ED22CE" w:rsidRDefault="00C35538" w:rsidP="00C35538">
      <w:pPr>
        <w:pStyle w:val="NormalWeb"/>
        <w:spacing w:before="0" w:beforeAutospacing="0" w:after="0" w:afterAutospacing="0"/>
        <w:ind w:firstLine="0"/>
        <w:rPr>
          <w:b/>
          <w:bCs/>
        </w:rPr>
      </w:pPr>
      <w:r w:rsidRPr="00ED22CE">
        <w:rPr>
          <w:b/>
          <w:bCs/>
        </w:rPr>
        <w:t xml:space="preserve">Tabla </w:t>
      </w:r>
      <w:r>
        <w:rPr>
          <w:b/>
          <w:bCs/>
        </w:rPr>
        <w:t>5</w:t>
      </w:r>
      <w:r w:rsidRPr="00ED22CE">
        <w:rPr>
          <w:b/>
          <w:bCs/>
        </w:rPr>
        <w:t>.</w:t>
      </w:r>
    </w:p>
    <w:p w14:paraId="7003B6D9" w14:textId="77777777" w:rsidR="00C35538" w:rsidRDefault="00C35538" w:rsidP="00C35538">
      <w:pPr>
        <w:ind w:firstLine="0"/>
      </w:pPr>
      <w:r>
        <w:rPr>
          <w:i/>
          <w:iCs/>
        </w:rPr>
        <w:t xml:space="preserve">Criterios de Evaluación </w:t>
      </w:r>
    </w:p>
    <w:tbl>
      <w:tblPr>
        <w:tblW w:w="9320" w:type="dxa"/>
        <w:tblCellMar>
          <w:left w:w="70" w:type="dxa"/>
          <w:right w:w="70" w:type="dxa"/>
        </w:tblCellMar>
        <w:tblLook w:val="04A0" w:firstRow="1" w:lastRow="0" w:firstColumn="1" w:lastColumn="0" w:noHBand="0" w:noVBand="1"/>
      </w:tblPr>
      <w:tblGrid>
        <w:gridCol w:w="1090"/>
        <w:gridCol w:w="1754"/>
        <w:gridCol w:w="2683"/>
        <w:gridCol w:w="1804"/>
        <w:gridCol w:w="1989"/>
      </w:tblGrid>
      <w:tr w:rsidR="00C35538" w:rsidRPr="00C35538" w14:paraId="5B1CE863" w14:textId="77777777" w:rsidTr="00C35538">
        <w:trPr>
          <w:trHeight w:val="300"/>
        </w:trPr>
        <w:tc>
          <w:tcPr>
            <w:tcW w:w="1090" w:type="dxa"/>
            <w:tcBorders>
              <w:top w:val="single" w:sz="8" w:space="0" w:color="auto"/>
              <w:left w:val="single" w:sz="8" w:space="0" w:color="auto"/>
              <w:bottom w:val="single" w:sz="8" w:space="0" w:color="auto"/>
              <w:right w:val="single" w:sz="8" w:space="0" w:color="auto"/>
            </w:tcBorders>
            <w:shd w:val="clear" w:color="000000" w:fill="FFF2CC"/>
            <w:hideMark/>
          </w:tcPr>
          <w:p w14:paraId="63DE669B"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N.º</w:t>
            </w:r>
          </w:p>
        </w:tc>
        <w:tc>
          <w:tcPr>
            <w:tcW w:w="1754" w:type="dxa"/>
            <w:tcBorders>
              <w:top w:val="single" w:sz="8" w:space="0" w:color="auto"/>
              <w:left w:val="nil"/>
              <w:bottom w:val="single" w:sz="8" w:space="0" w:color="auto"/>
              <w:right w:val="single" w:sz="8" w:space="0" w:color="auto"/>
            </w:tcBorders>
            <w:shd w:val="clear" w:color="000000" w:fill="FFF2CC"/>
            <w:hideMark/>
          </w:tcPr>
          <w:p w14:paraId="6613345A"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Criterio</w:t>
            </w:r>
          </w:p>
        </w:tc>
        <w:tc>
          <w:tcPr>
            <w:tcW w:w="2683" w:type="dxa"/>
            <w:tcBorders>
              <w:top w:val="single" w:sz="8" w:space="0" w:color="auto"/>
              <w:left w:val="nil"/>
              <w:bottom w:val="single" w:sz="8" w:space="0" w:color="auto"/>
              <w:right w:val="single" w:sz="8" w:space="0" w:color="auto"/>
            </w:tcBorders>
            <w:shd w:val="clear" w:color="000000" w:fill="FFF2CC"/>
            <w:hideMark/>
          </w:tcPr>
          <w:p w14:paraId="09CC5E0E"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Indicador de evaluación</w:t>
            </w:r>
          </w:p>
        </w:tc>
        <w:tc>
          <w:tcPr>
            <w:tcW w:w="1804" w:type="dxa"/>
            <w:tcBorders>
              <w:top w:val="single" w:sz="8" w:space="0" w:color="auto"/>
              <w:left w:val="nil"/>
              <w:bottom w:val="single" w:sz="8" w:space="0" w:color="auto"/>
              <w:right w:val="nil"/>
            </w:tcBorders>
            <w:shd w:val="clear" w:color="000000" w:fill="FFF2CC"/>
            <w:hideMark/>
          </w:tcPr>
          <w:p w14:paraId="0040EE25"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Puntaje de 1 a 5</w:t>
            </w:r>
          </w:p>
        </w:tc>
        <w:tc>
          <w:tcPr>
            <w:tcW w:w="1989" w:type="dxa"/>
            <w:tcBorders>
              <w:top w:val="single" w:sz="8" w:space="0" w:color="auto"/>
              <w:left w:val="single" w:sz="8" w:space="0" w:color="auto"/>
              <w:bottom w:val="single" w:sz="8" w:space="0" w:color="auto"/>
              <w:right w:val="single" w:sz="8" w:space="0" w:color="auto"/>
            </w:tcBorders>
            <w:shd w:val="clear" w:color="000000" w:fill="FFF2CC"/>
            <w:hideMark/>
          </w:tcPr>
          <w:p w14:paraId="55FCB79D"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Observaciones</w:t>
            </w:r>
          </w:p>
        </w:tc>
      </w:tr>
      <w:tr w:rsidR="00C35538" w:rsidRPr="00C35538" w14:paraId="56E608F3" w14:textId="77777777" w:rsidTr="00C35538">
        <w:trPr>
          <w:trHeight w:val="1170"/>
        </w:trPr>
        <w:tc>
          <w:tcPr>
            <w:tcW w:w="1090" w:type="dxa"/>
            <w:tcBorders>
              <w:top w:val="nil"/>
              <w:left w:val="single" w:sz="8" w:space="0" w:color="auto"/>
              <w:bottom w:val="single" w:sz="8" w:space="0" w:color="auto"/>
              <w:right w:val="single" w:sz="8" w:space="0" w:color="auto"/>
            </w:tcBorders>
            <w:shd w:val="clear" w:color="000000" w:fill="D9D9D9"/>
            <w:hideMark/>
          </w:tcPr>
          <w:p w14:paraId="7F0C0AD5"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1</w:t>
            </w:r>
          </w:p>
        </w:tc>
        <w:tc>
          <w:tcPr>
            <w:tcW w:w="1754" w:type="dxa"/>
            <w:tcBorders>
              <w:top w:val="nil"/>
              <w:left w:val="nil"/>
              <w:bottom w:val="single" w:sz="8" w:space="0" w:color="auto"/>
              <w:right w:val="single" w:sz="8" w:space="0" w:color="auto"/>
            </w:tcBorders>
            <w:shd w:val="clear" w:color="000000" w:fill="D9D9D9"/>
            <w:hideMark/>
          </w:tcPr>
          <w:p w14:paraId="0C088AAA"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Coherencia didáctica</w:t>
            </w:r>
          </w:p>
        </w:tc>
        <w:tc>
          <w:tcPr>
            <w:tcW w:w="2683" w:type="dxa"/>
            <w:tcBorders>
              <w:top w:val="nil"/>
              <w:left w:val="nil"/>
              <w:bottom w:val="single" w:sz="8" w:space="0" w:color="auto"/>
              <w:right w:val="nil"/>
            </w:tcBorders>
            <w:shd w:val="clear" w:color="000000" w:fill="D9D9D9"/>
            <w:hideMark/>
          </w:tcPr>
          <w:p w14:paraId="3EBC43D8"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El RED presenta objetivos, contenidos y actividades relacionados con el aprendizaje esperado.</w:t>
            </w:r>
          </w:p>
        </w:tc>
        <w:tc>
          <w:tcPr>
            <w:tcW w:w="1804" w:type="dxa"/>
            <w:tcBorders>
              <w:top w:val="nil"/>
              <w:left w:val="single" w:sz="8" w:space="0" w:color="auto"/>
              <w:bottom w:val="single" w:sz="8" w:space="0" w:color="auto"/>
              <w:right w:val="single" w:sz="8" w:space="0" w:color="auto"/>
            </w:tcBorders>
            <w:shd w:val="clear" w:color="000000" w:fill="D9D9D9"/>
            <w:hideMark/>
          </w:tcPr>
          <w:p w14:paraId="57839620"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c>
          <w:tcPr>
            <w:tcW w:w="1989" w:type="dxa"/>
            <w:tcBorders>
              <w:top w:val="nil"/>
              <w:left w:val="nil"/>
              <w:bottom w:val="single" w:sz="8" w:space="0" w:color="auto"/>
              <w:right w:val="single" w:sz="8" w:space="0" w:color="auto"/>
            </w:tcBorders>
            <w:shd w:val="clear" w:color="000000" w:fill="D9D9D9"/>
            <w:hideMark/>
          </w:tcPr>
          <w:p w14:paraId="6E232F9A"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r>
      <w:tr w:rsidR="00C35538" w:rsidRPr="00C35538" w14:paraId="052F3CB7" w14:textId="77777777" w:rsidTr="00C35538">
        <w:trPr>
          <w:trHeight w:val="1170"/>
        </w:trPr>
        <w:tc>
          <w:tcPr>
            <w:tcW w:w="1090" w:type="dxa"/>
            <w:tcBorders>
              <w:top w:val="nil"/>
              <w:left w:val="single" w:sz="8" w:space="0" w:color="auto"/>
              <w:bottom w:val="single" w:sz="8" w:space="0" w:color="auto"/>
              <w:right w:val="single" w:sz="8" w:space="0" w:color="auto"/>
            </w:tcBorders>
            <w:shd w:val="clear" w:color="000000" w:fill="D9D9D9"/>
            <w:hideMark/>
          </w:tcPr>
          <w:p w14:paraId="51F24298"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2</w:t>
            </w:r>
          </w:p>
        </w:tc>
        <w:tc>
          <w:tcPr>
            <w:tcW w:w="1754" w:type="dxa"/>
            <w:tcBorders>
              <w:top w:val="nil"/>
              <w:left w:val="nil"/>
              <w:bottom w:val="single" w:sz="8" w:space="0" w:color="auto"/>
              <w:right w:val="single" w:sz="8" w:space="0" w:color="auto"/>
            </w:tcBorders>
            <w:shd w:val="clear" w:color="000000" w:fill="D9D9D9"/>
            <w:hideMark/>
          </w:tcPr>
          <w:p w14:paraId="55F1A5C6"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Calidad del contenido</w:t>
            </w:r>
          </w:p>
        </w:tc>
        <w:tc>
          <w:tcPr>
            <w:tcW w:w="2683" w:type="dxa"/>
            <w:tcBorders>
              <w:top w:val="nil"/>
              <w:left w:val="nil"/>
              <w:bottom w:val="single" w:sz="8" w:space="0" w:color="auto"/>
              <w:right w:val="nil"/>
            </w:tcBorders>
            <w:shd w:val="clear" w:color="000000" w:fill="D9D9D9"/>
            <w:hideMark/>
          </w:tcPr>
          <w:p w14:paraId="32716DA1"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El contenido matemático es correcto, claro, suficiente y adecuado para el nivel de los estudiantes.</w:t>
            </w:r>
          </w:p>
        </w:tc>
        <w:tc>
          <w:tcPr>
            <w:tcW w:w="1804" w:type="dxa"/>
            <w:tcBorders>
              <w:top w:val="nil"/>
              <w:left w:val="single" w:sz="8" w:space="0" w:color="auto"/>
              <w:bottom w:val="single" w:sz="8" w:space="0" w:color="auto"/>
              <w:right w:val="single" w:sz="8" w:space="0" w:color="auto"/>
            </w:tcBorders>
            <w:shd w:val="clear" w:color="000000" w:fill="D9D9D9"/>
            <w:hideMark/>
          </w:tcPr>
          <w:p w14:paraId="44878504"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c>
          <w:tcPr>
            <w:tcW w:w="1989" w:type="dxa"/>
            <w:tcBorders>
              <w:top w:val="nil"/>
              <w:left w:val="nil"/>
              <w:bottom w:val="single" w:sz="8" w:space="0" w:color="auto"/>
              <w:right w:val="single" w:sz="8" w:space="0" w:color="auto"/>
            </w:tcBorders>
            <w:shd w:val="clear" w:color="000000" w:fill="D9D9D9"/>
            <w:hideMark/>
          </w:tcPr>
          <w:p w14:paraId="1E06C7E4"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r>
      <w:tr w:rsidR="00C35538" w:rsidRPr="00C35538" w14:paraId="575143E0" w14:textId="77777777" w:rsidTr="00C35538">
        <w:trPr>
          <w:trHeight w:val="1460"/>
        </w:trPr>
        <w:tc>
          <w:tcPr>
            <w:tcW w:w="1090" w:type="dxa"/>
            <w:tcBorders>
              <w:top w:val="nil"/>
              <w:left w:val="single" w:sz="8" w:space="0" w:color="auto"/>
              <w:bottom w:val="single" w:sz="8" w:space="0" w:color="auto"/>
              <w:right w:val="single" w:sz="8" w:space="0" w:color="auto"/>
            </w:tcBorders>
            <w:shd w:val="clear" w:color="000000" w:fill="D9D9D9"/>
            <w:hideMark/>
          </w:tcPr>
          <w:p w14:paraId="0038E584"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3</w:t>
            </w:r>
          </w:p>
        </w:tc>
        <w:tc>
          <w:tcPr>
            <w:tcW w:w="1754" w:type="dxa"/>
            <w:tcBorders>
              <w:top w:val="nil"/>
              <w:left w:val="nil"/>
              <w:bottom w:val="single" w:sz="8" w:space="0" w:color="auto"/>
              <w:right w:val="single" w:sz="8" w:space="0" w:color="auto"/>
            </w:tcBorders>
            <w:shd w:val="clear" w:color="000000" w:fill="D9D9D9"/>
            <w:hideMark/>
          </w:tcPr>
          <w:p w14:paraId="21C9B2CD"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Interactividad y retroalimentación</w:t>
            </w:r>
          </w:p>
        </w:tc>
        <w:tc>
          <w:tcPr>
            <w:tcW w:w="2683" w:type="dxa"/>
            <w:tcBorders>
              <w:top w:val="nil"/>
              <w:left w:val="nil"/>
              <w:bottom w:val="single" w:sz="8" w:space="0" w:color="auto"/>
              <w:right w:val="nil"/>
            </w:tcBorders>
            <w:shd w:val="clear" w:color="000000" w:fill="D9D9D9"/>
            <w:hideMark/>
          </w:tcPr>
          <w:p w14:paraId="51DD1EA4"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El recurso permite la participación activa del estudiante y ofrece orientación durante el proceso.</w:t>
            </w:r>
          </w:p>
        </w:tc>
        <w:tc>
          <w:tcPr>
            <w:tcW w:w="1804" w:type="dxa"/>
            <w:tcBorders>
              <w:top w:val="nil"/>
              <w:left w:val="single" w:sz="8" w:space="0" w:color="auto"/>
              <w:bottom w:val="single" w:sz="8" w:space="0" w:color="auto"/>
              <w:right w:val="single" w:sz="8" w:space="0" w:color="auto"/>
            </w:tcBorders>
            <w:shd w:val="clear" w:color="000000" w:fill="D9D9D9"/>
            <w:hideMark/>
          </w:tcPr>
          <w:p w14:paraId="2AED5C56"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c>
          <w:tcPr>
            <w:tcW w:w="1989" w:type="dxa"/>
            <w:tcBorders>
              <w:top w:val="nil"/>
              <w:left w:val="nil"/>
              <w:bottom w:val="single" w:sz="8" w:space="0" w:color="auto"/>
              <w:right w:val="single" w:sz="8" w:space="0" w:color="auto"/>
            </w:tcBorders>
            <w:shd w:val="clear" w:color="000000" w:fill="D9D9D9"/>
            <w:hideMark/>
          </w:tcPr>
          <w:p w14:paraId="6EFC1227"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r>
      <w:tr w:rsidR="00C35538" w:rsidRPr="00C35538" w14:paraId="741054A9" w14:textId="77777777" w:rsidTr="00C35538">
        <w:trPr>
          <w:trHeight w:val="1170"/>
        </w:trPr>
        <w:tc>
          <w:tcPr>
            <w:tcW w:w="1090" w:type="dxa"/>
            <w:tcBorders>
              <w:top w:val="nil"/>
              <w:left w:val="single" w:sz="8" w:space="0" w:color="auto"/>
              <w:bottom w:val="single" w:sz="8" w:space="0" w:color="auto"/>
              <w:right w:val="single" w:sz="8" w:space="0" w:color="auto"/>
            </w:tcBorders>
            <w:shd w:val="clear" w:color="000000" w:fill="D9D9D9"/>
            <w:hideMark/>
          </w:tcPr>
          <w:p w14:paraId="63A5BCD1"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4</w:t>
            </w:r>
          </w:p>
        </w:tc>
        <w:tc>
          <w:tcPr>
            <w:tcW w:w="1754" w:type="dxa"/>
            <w:tcBorders>
              <w:top w:val="nil"/>
              <w:left w:val="nil"/>
              <w:bottom w:val="single" w:sz="8" w:space="0" w:color="auto"/>
              <w:right w:val="single" w:sz="8" w:space="0" w:color="auto"/>
            </w:tcBorders>
            <w:shd w:val="clear" w:color="000000" w:fill="D9D9D9"/>
            <w:hideMark/>
          </w:tcPr>
          <w:p w14:paraId="684992F6"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Usabilidad</w:t>
            </w:r>
          </w:p>
        </w:tc>
        <w:tc>
          <w:tcPr>
            <w:tcW w:w="2683" w:type="dxa"/>
            <w:tcBorders>
              <w:top w:val="nil"/>
              <w:left w:val="nil"/>
              <w:bottom w:val="single" w:sz="8" w:space="0" w:color="auto"/>
              <w:right w:val="nil"/>
            </w:tcBorders>
            <w:shd w:val="clear" w:color="000000" w:fill="D9D9D9"/>
            <w:hideMark/>
          </w:tcPr>
          <w:p w14:paraId="6997DCED"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El RED es fácil de utilizar, navegar y comprender sin requerir instrucciones complejas.</w:t>
            </w:r>
          </w:p>
        </w:tc>
        <w:tc>
          <w:tcPr>
            <w:tcW w:w="1804" w:type="dxa"/>
            <w:tcBorders>
              <w:top w:val="nil"/>
              <w:left w:val="single" w:sz="8" w:space="0" w:color="auto"/>
              <w:bottom w:val="single" w:sz="8" w:space="0" w:color="auto"/>
              <w:right w:val="single" w:sz="8" w:space="0" w:color="auto"/>
            </w:tcBorders>
            <w:shd w:val="clear" w:color="000000" w:fill="D9D9D9"/>
            <w:hideMark/>
          </w:tcPr>
          <w:p w14:paraId="02037014"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c>
          <w:tcPr>
            <w:tcW w:w="1989" w:type="dxa"/>
            <w:tcBorders>
              <w:top w:val="nil"/>
              <w:left w:val="nil"/>
              <w:bottom w:val="single" w:sz="8" w:space="0" w:color="auto"/>
              <w:right w:val="single" w:sz="8" w:space="0" w:color="auto"/>
            </w:tcBorders>
            <w:shd w:val="clear" w:color="000000" w:fill="D9D9D9"/>
            <w:hideMark/>
          </w:tcPr>
          <w:p w14:paraId="58EF6C08"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r>
      <w:tr w:rsidR="00C35538" w:rsidRPr="00C35538" w14:paraId="5CD2BB84" w14:textId="77777777" w:rsidTr="00C35538">
        <w:trPr>
          <w:trHeight w:val="1170"/>
        </w:trPr>
        <w:tc>
          <w:tcPr>
            <w:tcW w:w="1090" w:type="dxa"/>
            <w:tcBorders>
              <w:top w:val="nil"/>
              <w:left w:val="single" w:sz="8" w:space="0" w:color="auto"/>
              <w:bottom w:val="single" w:sz="8" w:space="0" w:color="auto"/>
              <w:right w:val="single" w:sz="8" w:space="0" w:color="auto"/>
            </w:tcBorders>
            <w:shd w:val="clear" w:color="000000" w:fill="D9D9D9"/>
            <w:hideMark/>
          </w:tcPr>
          <w:p w14:paraId="318CBB80"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5</w:t>
            </w:r>
          </w:p>
        </w:tc>
        <w:tc>
          <w:tcPr>
            <w:tcW w:w="1754" w:type="dxa"/>
            <w:tcBorders>
              <w:top w:val="nil"/>
              <w:left w:val="nil"/>
              <w:bottom w:val="single" w:sz="8" w:space="0" w:color="auto"/>
              <w:right w:val="single" w:sz="8" w:space="0" w:color="auto"/>
            </w:tcBorders>
            <w:shd w:val="clear" w:color="000000" w:fill="D9D9D9"/>
            <w:hideMark/>
          </w:tcPr>
          <w:p w14:paraId="7F01EABF"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Comunicación visual</w:t>
            </w:r>
          </w:p>
        </w:tc>
        <w:tc>
          <w:tcPr>
            <w:tcW w:w="2683" w:type="dxa"/>
            <w:tcBorders>
              <w:top w:val="nil"/>
              <w:left w:val="nil"/>
              <w:bottom w:val="single" w:sz="8" w:space="0" w:color="auto"/>
              <w:right w:val="nil"/>
            </w:tcBorders>
            <w:shd w:val="clear" w:color="000000" w:fill="D9D9D9"/>
            <w:hideMark/>
          </w:tcPr>
          <w:p w14:paraId="0797AC02"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La información está bien organizada y el diseño facilita la lectura, comprensión y seguimiento del recurso.</w:t>
            </w:r>
          </w:p>
        </w:tc>
        <w:tc>
          <w:tcPr>
            <w:tcW w:w="1804" w:type="dxa"/>
            <w:tcBorders>
              <w:top w:val="nil"/>
              <w:left w:val="single" w:sz="8" w:space="0" w:color="auto"/>
              <w:bottom w:val="single" w:sz="8" w:space="0" w:color="auto"/>
              <w:right w:val="single" w:sz="8" w:space="0" w:color="auto"/>
            </w:tcBorders>
            <w:shd w:val="clear" w:color="000000" w:fill="D9D9D9"/>
            <w:hideMark/>
          </w:tcPr>
          <w:p w14:paraId="60AE7DB3"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c>
          <w:tcPr>
            <w:tcW w:w="1989" w:type="dxa"/>
            <w:tcBorders>
              <w:top w:val="nil"/>
              <w:left w:val="nil"/>
              <w:bottom w:val="single" w:sz="8" w:space="0" w:color="auto"/>
              <w:right w:val="single" w:sz="8" w:space="0" w:color="auto"/>
            </w:tcBorders>
            <w:shd w:val="clear" w:color="000000" w:fill="D9D9D9"/>
            <w:hideMark/>
          </w:tcPr>
          <w:p w14:paraId="211925FA"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r>
      <w:tr w:rsidR="00C35538" w:rsidRPr="00C35538" w14:paraId="55E8B515" w14:textId="77777777" w:rsidTr="00C35538">
        <w:trPr>
          <w:trHeight w:val="1460"/>
        </w:trPr>
        <w:tc>
          <w:tcPr>
            <w:tcW w:w="1090" w:type="dxa"/>
            <w:tcBorders>
              <w:top w:val="nil"/>
              <w:left w:val="single" w:sz="8" w:space="0" w:color="auto"/>
              <w:bottom w:val="single" w:sz="8" w:space="0" w:color="auto"/>
              <w:right w:val="single" w:sz="8" w:space="0" w:color="auto"/>
            </w:tcBorders>
            <w:shd w:val="clear" w:color="000000" w:fill="D9D9D9"/>
            <w:hideMark/>
          </w:tcPr>
          <w:p w14:paraId="1B708CAC"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6</w:t>
            </w:r>
          </w:p>
        </w:tc>
        <w:tc>
          <w:tcPr>
            <w:tcW w:w="1754" w:type="dxa"/>
            <w:tcBorders>
              <w:top w:val="nil"/>
              <w:left w:val="nil"/>
              <w:bottom w:val="single" w:sz="8" w:space="0" w:color="auto"/>
              <w:right w:val="single" w:sz="8" w:space="0" w:color="auto"/>
            </w:tcBorders>
            <w:shd w:val="clear" w:color="000000" w:fill="D9D9D9"/>
            <w:hideMark/>
          </w:tcPr>
          <w:p w14:paraId="47D17488"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Accesibilidad y flexibilidad de uso</w:t>
            </w:r>
          </w:p>
        </w:tc>
        <w:tc>
          <w:tcPr>
            <w:tcW w:w="2683" w:type="dxa"/>
            <w:tcBorders>
              <w:top w:val="nil"/>
              <w:left w:val="nil"/>
              <w:bottom w:val="single" w:sz="8" w:space="0" w:color="auto"/>
              <w:right w:val="nil"/>
            </w:tcBorders>
            <w:shd w:val="clear" w:color="000000" w:fill="D9D9D9"/>
            <w:hideMark/>
          </w:tcPr>
          <w:p w14:paraId="49705B46"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El recurso puede ser usado en diferentes condiciones tecnológicas y por estudiantes con distintos ritmos de aprendizaje.</w:t>
            </w:r>
          </w:p>
        </w:tc>
        <w:tc>
          <w:tcPr>
            <w:tcW w:w="1804" w:type="dxa"/>
            <w:tcBorders>
              <w:top w:val="nil"/>
              <w:left w:val="single" w:sz="8" w:space="0" w:color="auto"/>
              <w:bottom w:val="single" w:sz="8" w:space="0" w:color="auto"/>
              <w:right w:val="single" w:sz="8" w:space="0" w:color="auto"/>
            </w:tcBorders>
            <w:shd w:val="clear" w:color="000000" w:fill="D9D9D9"/>
            <w:hideMark/>
          </w:tcPr>
          <w:p w14:paraId="766A6C69"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c>
          <w:tcPr>
            <w:tcW w:w="1989" w:type="dxa"/>
            <w:tcBorders>
              <w:top w:val="nil"/>
              <w:left w:val="nil"/>
              <w:bottom w:val="single" w:sz="8" w:space="0" w:color="auto"/>
              <w:right w:val="single" w:sz="8" w:space="0" w:color="auto"/>
            </w:tcBorders>
            <w:shd w:val="clear" w:color="000000" w:fill="D9D9D9"/>
            <w:hideMark/>
          </w:tcPr>
          <w:p w14:paraId="6BCDEC22"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r>
      <w:tr w:rsidR="00C35538" w:rsidRPr="00C35538" w14:paraId="2C642C26" w14:textId="77777777" w:rsidTr="00C35538">
        <w:trPr>
          <w:trHeight w:val="1170"/>
        </w:trPr>
        <w:tc>
          <w:tcPr>
            <w:tcW w:w="1090" w:type="dxa"/>
            <w:tcBorders>
              <w:top w:val="nil"/>
              <w:left w:val="single" w:sz="8" w:space="0" w:color="auto"/>
              <w:bottom w:val="single" w:sz="8" w:space="0" w:color="auto"/>
              <w:right w:val="single" w:sz="8" w:space="0" w:color="auto"/>
            </w:tcBorders>
            <w:shd w:val="clear" w:color="000000" w:fill="D9D9D9"/>
            <w:hideMark/>
          </w:tcPr>
          <w:p w14:paraId="5B77D3A6"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7</w:t>
            </w:r>
          </w:p>
        </w:tc>
        <w:tc>
          <w:tcPr>
            <w:tcW w:w="1754" w:type="dxa"/>
            <w:tcBorders>
              <w:top w:val="nil"/>
              <w:left w:val="nil"/>
              <w:bottom w:val="single" w:sz="8" w:space="0" w:color="auto"/>
              <w:right w:val="single" w:sz="8" w:space="0" w:color="auto"/>
            </w:tcBorders>
            <w:shd w:val="clear" w:color="000000" w:fill="D9D9D9"/>
            <w:hideMark/>
          </w:tcPr>
          <w:p w14:paraId="1EFF6C29"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Reutilización y funcionalidad</w:t>
            </w:r>
          </w:p>
        </w:tc>
        <w:tc>
          <w:tcPr>
            <w:tcW w:w="2683" w:type="dxa"/>
            <w:tcBorders>
              <w:top w:val="nil"/>
              <w:left w:val="nil"/>
              <w:bottom w:val="single" w:sz="8" w:space="0" w:color="auto"/>
              <w:right w:val="nil"/>
            </w:tcBorders>
            <w:shd w:val="clear" w:color="000000" w:fill="D9D9D9"/>
            <w:hideMark/>
          </w:tcPr>
          <w:p w14:paraId="47E5271A"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El RED puede emplearse en diferentes momentos de clase, actividades o estrategias pedagógicas.</w:t>
            </w:r>
          </w:p>
        </w:tc>
        <w:tc>
          <w:tcPr>
            <w:tcW w:w="1804" w:type="dxa"/>
            <w:tcBorders>
              <w:top w:val="nil"/>
              <w:left w:val="single" w:sz="8" w:space="0" w:color="auto"/>
              <w:bottom w:val="single" w:sz="8" w:space="0" w:color="auto"/>
              <w:right w:val="single" w:sz="8" w:space="0" w:color="auto"/>
            </w:tcBorders>
            <w:shd w:val="clear" w:color="000000" w:fill="D9D9D9"/>
            <w:hideMark/>
          </w:tcPr>
          <w:p w14:paraId="3D19F1DA"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c>
          <w:tcPr>
            <w:tcW w:w="1989" w:type="dxa"/>
            <w:tcBorders>
              <w:top w:val="nil"/>
              <w:left w:val="nil"/>
              <w:bottom w:val="single" w:sz="8" w:space="0" w:color="auto"/>
              <w:right w:val="single" w:sz="8" w:space="0" w:color="auto"/>
            </w:tcBorders>
            <w:shd w:val="clear" w:color="000000" w:fill="D9D9D9"/>
            <w:hideMark/>
          </w:tcPr>
          <w:p w14:paraId="27601722"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r>
      <w:tr w:rsidR="00C35538" w:rsidRPr="00C35538" w14:paraId="200C5DEB" w14:textId="77777777" w:rsidTr="00C35538">
        <w:trPr>
          <w:trHeight w:val="1460"/>
        </w:trPr>
        <w:tc>
          <w:tcPr>
            <w:tcW w:w="1090" w:type="dxa"/>
            <w:tcBorders>
              <w:top w:val="nil"/>
              <w:left w:val="single" w:sz="8" w:space="0" w:color="auto"/>
              <w:bottom w:val="single" w:sz="8" w:space="0" w:color="auto"/>
              <w:right w:val="single" w:sz="8" w:space="0" w:color="auto"/>
            </w:tcBorders>
            <w:shd w:val="clear" w:color="000000" w:fill="D9D9D9"/>
            <w:hideMark/>
          </w:tcPr>
          <w:p w14:paraId="19FE7B82"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lastRenderedPageBreak/>
              <w:t>8</w:t>
            </w:r>
          </w:p>
        </w:tc>
        <w:tc>
          <w:tcPr>
            <w:tcW w:w="1754" w:type="dxa"/>
            <w:tcBorders>
              <w:top w:val="nil"/>
              <w:left w:val="nil"/>
              <w:bottom w:val="single" w:sz="8" w:space="0" w:color="auto"/>
              <w:right w:val="single" w:sz="8" w:space="0" w:color="auto"/>
            </w:tcBorders>
            <w:shd w:val="clear" w:color="000000" w:fill="D9D9D9"/>
            <w:hideMark/>
          </w:tcPr>
          <w:p w14:paraId="52D4EB90"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Pertinencia contextual</w:t>
            </w:r>
          </w:p>
        </w:tc>
        <w:tc>
          <w:tcPr>
            <w:tcW w:w="2683" w:type="dxa"/>
            <w:tcBorders>
              <w:top w:val="nil"/>
              <w:left w:val="nil"/>
              <w:bottom w:val="single" w:sz="8" w:space="0" w:color="auto"/>
              <w:right w:val="nil"/>
            </w:tcBorders>
            <w:shd w:val="clear" w:color="000000" w:fill="D9D9D9"/>
            <w:hideMark/>
          </w:tcPr>
          <w:p w14:paraId="4D5DDC23"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El recurso responde a las necesidades del área de matemáticas, al contexto rural y a las características de los estudiantes.</w:t>
            </w:r>
          </w:p>
        </w:tc>
        <w:tc>
          <w:tcPr>
            <w:tcW w:w="1804" w:type="dxa"/>
            <w:tcBorders>
              <w:top w:val="nil"/>
              <w:left w:val="single" w:sz="8" w:space="0" w:color="auto"/>
              <w:bottom w:val="single" w:sz="8" w:space="0" w:color="auto"/>
              <w:right w:val="single" w:sz="8" w:space="0" w:color="auto"/>
            </w:tcBorders>
            <w:shd w:val="clear" w:color="000000" w:fill="D9D9D9"/>
            <w:hideMark/>
          </w:tcPr>
          <w:p w14:paraId="24D308FA"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c>
          <w:tcPr>
            <w:tcW w:w="1989" w:type="dxa"/>
            <w:tcBorders>
              <w:top w:val="nil"/>
              <w:left w:val="nil"/>
              <w:bottom w:val="single" w:sz="8" w:space="0" w:color="auto"/>
              <w:right w:val="single" w:sz="8" w:space="0" w:color="auto"/>
            </w:tcBorders>
            <w:shd w:val="clear" w:color="000000" w:fill="D9D9D9"/>
            <w:hideMark/>
          </w:tcPr>
          <w:p w14:paraId="4F0C25A1" w14:textId="77777777" w:rsidR="00C35538" w:rsidRPr="00C35538" w:rsidRDefault="00C35538" w:rsidP="00C35538">
            <w:pPr>
              <w:widowControl/>
              <w:spacing w:line="240" w:lineRule="auto"/>
              <w:ind w:firstLine="0"/>
              <w:contextualSpacing w:val="0"/>
              <w:rPr>
                <w:rFonts w:ascii="Calibri" w:eastAsia="Times New Roman" w:hAnsi="Calibri" w:cs="Times New Roman"/>
                <w:color w:val="000000"/>
                <w:lang w:eastAsia="es-CO"/>
              </w:rPr>
            </w:pPr>
            <w:r w:rsidRPr="00C35538">
              <w:rPr>
                <w:rFonts w:ascii="Calibri" w:eastAsia="Times New Roman" w:hAnsi="Calibri" w:cs="Times New Roman"/>
                <w:color w:val="000000"/>
                <w:lang w:eastAsia="es-CO"/>
              </w:rPr>
              <w:t> </w:t>
            </w:r>
          </w:p>
        </w:tc>
      </w:tr>
      <w:tr w:rsidR="00C35538" w:rsidRPr="00C35538" w14:paraId="4224DFF2" w14:textId="77777777" w:rsidTr="00C35538">
        <w:trPr>
          <w:trHeight w:val="300"/>
        </w:trPr>
        <w:tc>
          <w:tcPr>
            <w:tcW w:w="5527" w:type="dxa"/>
            <w:gridSpan w:val="3"/>
            <w:tcBorders>
              <w:top w:val="single" w:sz="8" w:space="0" w:color="auto"/>
              <w:left w:val="single" w:sz="8" w:space="0" w:color="auto"/>
              <w:bottom w:val="single" w:sz="8" w:space="0" w:color="auto"/>
              <w:right w:val="single" w:sz="8" w:space="0" w:color="000000"/>
            </w:tcBorders>
            <w:shd w:val="clear" w:color="000000" w:fill="D9D9D9"/>
            <w:hideMark/>
          </w:tcPr>
          <w:p w14:paraId="157BBE57"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b/>
                <w:bCs/>
                <w:color w:val="000000"/>
                <w:lang w:eastAsia="es-CO"/>
              </w:rPr>
            </w:pPr>
            <w:r w:rsidRPr="00C35538">
              <w:rPr>
                <w:rFonts w:ascii="Calibri" w:eastAsia="Times New Roman" w:hAnsi="Calibri" w:cs="Times New Roman"/>
                <w:b/>
                <w:bCs/>
                <w:color w:val="000000"/>
                <w:lang w:eastAsia="es-CO"/>
              </w:rPr>
              <w:t>Total</w:t>
            </w:r>
          </w:p>
        </w:tc>
        <w:tc>
          <w:tcPr>
            <w:tcW w:w="3793" w:type="dxa"/>
            <w:gridSpan w:val="2"/>
            <w:tcBorders>
              <w:top w:val="single" w:sz="8" w:space="0" w:color="auto"/>
              <w:left w:val="nil"/>
              <w:bottom w:val="single" w:sz="8" w:space="0" w:color="auto"/>
              <w:right w:val="single" w:sz="8" w:space="0" w:color="000000"/>
            </w:tcBorders>
            <w:shd w:val="clear" w:color="000000" w:fill="D9D9D9"/>
            <w:hideMark/>
          </w:tcPr>
          <w:p w14:paraId="4741CB66" w14:textId="77777777" w:rsidR="00C35538" w:rsidRPr="00C35538" w:rsidRDefault="00C35538" w:rsidP="00C35538">
            <w:pPr>
              <w:widowControl/>
              <w:spacing w:line="240" w:lineRule="auto"/>
              <w:ind w:firstLine="0"/>
              <w:contextualSpacing w:val="0"/>
              <w:jc w:val="center"/>
              <w:rPr>
                <w:rFonts w:ascii="Calibri" w:eastAsia="Times New Roman" w:hAnsi="Calibri" w:cs="Times New Roman"/>
                <w:b/>
                <w:bCs/>
                <w:color w:val="000000"/>
                <w:lang w:eastAsia="es-CO"/>
              </w:rPr>
            </w:pPr>
            <w:r w:rsidRPr="00C35538">
              <w:rPr>
                <w:rFonts w:ascii="Calibri" w:eastAsia="Times New Roman" w:hAnsi="Calibri" w:cs="Times New Roman"/>
                <w:b/>
                <w:bCs/>
                <w:color w:val="000000"/>
                <w:lang w:eastAsia="es-CO"/>
              </w:rPr>
              <w:t>/40</w:t>
            </w:r>
          </w:p>
        </w:tc>
      </w:tr>
    </w:tbl>
    <w:p w14:paraId="0DF4E612" w14:textId="7BB629FC" w:rsidR="00C35538" w:rsidRDefault="00C35538" w:rsidP="00AC5E6D">
      <w:pPr>
        <w:pStyle w:val="NormalWeb"/>
      </w:pPr>
      <w:r>
        <w:t>El instrumento YELA permite obtener una valoración cuantitativa mediante el puntaje total y una valoración cualitativa mediante las observaciones. Esta combinación facilita una evaluación más completa, ya que no solo se identifica el nivel de calidad del RED, sino también los aspectos que deben fortalecerse para mejorar su implementación pedagógica.</w:t>
      </w:r>
    </w:p>
    <w:p w14:paraId="000000B4" w14:textId="77777777" w:rsidR="00C80C67" w:rsidRDefault="00C80C67" w:rsidP="009C32F4">
      <w:pPr>
        <w:pStyle w:val="Ttulo1"/>
        <w:rPr>
          <w:b w:val="0"/>
        </w:rPr>
      </w:pPr>
    </w:p>
    <w:sectPr w:rsidR="00C80C67">
      <w:footerReference w:type="default" r:id="rId8"/>
      <w:pgSz w:w="12240" w:h="15840"/>
      <w:pgMar w:top="1418" w:right="1418" w:bottom="1418" w:left="1418" w:header="709"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DE9962" w14:textId="77777777" w:rsidR="00FD2AD5" w:rsidRDefault="00FD2AD5">
      <w:pPr>
        <w:spacing w:line="240" w:lineRule="auto"/>
      </w:pPr>
      <w:r>
        <w:separator/>
      </w:r>
    </w:p>
  </w:endnote>
  <w:endnote w:type="continuationSeparator" w:id="0">
    <w:p w14:paraId="65656AB7" w14:textId="77777777" w:rsidR="00FD2AD5" w:rsidRDefault="00FD2A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B5" w14:textId="77777777" w:rsidR="00C80C67" w:rsidRDefault="00C80C67">
    <w:pPr>
      <w:pBdr>
        <w:top w:val="nil"/>
        <w:left w:val="nil"/>
        <w:bottom w:val="nil"/>
        <w:right w:val="nil"/>
        <w:between w:val="nil"/>
      </w:pBdr>
      <w:tabs>
        <w:tab w:val="center" w:pos="4419"/>
        <w:tab w:val="right" w:pos="8838"/>
      </w:tabs>
      <w:jc w:val="center"/>
      <w:rPr>
        <w:color w:val="000000"/>
      </w:rPr>
    </w:pPr>
  </w:p>
  <w:p w14:paraId="000000B6" w14:textId="77777777" w:rsidR="00C80C67" w:rsidRDefault="00C80C67">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8BD173" w14:textId="77777777" w:rsidR="00FD2AD5" w:rsidRDefault="00FD2AD5">
      <w:pPr>
        <w:spacing w:line="240" w:lineRule="auto"/>
      </w:pPr>
      <w:r>
        <w:separator/>
      </w:r>
    </w:p>
  </w:footnote>
  <w:footnote w:type="continuationSeparator" w:id="0">
    <w:p w14:paraId="4032CE56" w14:textId="77777777" w:rsidR="00FD2AD5" w:rsidRDefault="00FD2AD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060FC"/>
    <w:multiLevelType w:val="multilevel"/>
    <w:tmpl w:val="E814F3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1" w15:restartNumberingAfterBreak="0">
    <w:nsid w:val="155F1BF0"/>
    <w:multiLevelType w:val="multilevel"/>
    <w:tmpl w:val="0A04B5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B714FFF"/>
    <w:multiLevelType w:val="hybridMultilevel"/>
    <w:tmpl w:val="3EAE201E"/>
    <w:lvl w:ilvl="0" w:tplc="240A000B">
      <w:start w:val="1"/>
      <w:numFmt w:val="bullet"/>
      <w:lvlText w:val=""/>
      <w:lvlJc w:val="left"/>
      <w:pPr>
        <w:ind w:left="1800" w:hanging="360"/>
      </w:pPr>
      <w:rPr>
        <w:rFonts w:ascii="Wingdings" w:hAnsi="Wingdings" w:hint="default"/>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abstractNum w:abstractNumId="3" w15:restartNumberingAfterBreak="0">
    <w:nsid w:val="41C144F8"/>
    <w:multiLevelType w:val="multilevel"/>
    <w:tmpl w:val="2FF07A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D5F3046"/>
    <w:multiLevelType w:val="multilevel"/>
    <w:tmpl w:val="5F384C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B1B1B3F"/>
    <w:multiLevelType w:val="multilevel"/>
    <w:tmpl w:val="1EE8FC68"/>
    <w:lvl w:ilvl="0">
      <w:start w:val="1"/>
      <w:numFmt w:val="decimal"/>
      <w:lvlText w:val="%1."/>
      <w:lvlJc w:val="left"/>
      <w:pPr>
        <w:tabs>
          <w:tab w:val="num" w:pos="720"/>
        </w:tabs>
        <w:ind w:left="720" w:hanging="360"/>
      </w:pPr>
      <w:rPr>
        <w:rFonts w:ascii="Arial Narrow" w:eastAsia="Arial" w:hAnsi="Arial Narrow"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28541829">
    <w:abstractNumId w:val="0"/>
  </w:num>
  <w:num w:numId="2" w16cid:durableId="689993382">
    <w:abstractNumId w:val="4"/>
  </w:num>
  <w:num w:numId="3" w16cid:durableId="1414203823">
    <w:abstractNumId w:val="2"/>
  </w:num>
  <w:num w:numId="4" w16cid:durableId="1025910488">
    <w:abstractNumId w:val="1"/>
  </w:num>
  <w:num w:numId="5" w16cid:durableId="721292508">
    <w:abstractNumId w:val="5"/>
  </w:num>
  <w:num w:numId="6" w16cid:durableId="5462613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0C67"/>
    <w:rsid w:val="00001B28"/>
    <w:rsid w:val="00184158"/>
    <w:rsid w:val="001A02F1"/>
    <w:rsid w:val="001C5F73"/>
    <w:rsid w:val="001C6B47"/>
    <w:rsid w:val="00207068"/>
    <w:rsid w:val="00225543"/>
    <w:rsid w:val="002D0F41"/>
    <w:rsid w:val="002D7763"/>
    <w:rsid w:val="00304BC1"/>
    <w:rsid w:val="00335368"/>
    <w:rsid w:val="00335B7C"/>
    <w:rsid w:val="00354647"/>
    <w:rsid w:val="00362B53"/>
    <w:rsid w:val="003A081E"/>
    <w:rsid w:val="003B0E76"/>
    <w:rsid w:val="003D514B"/>
    <w:rsid w:val="003D5BE4"/>
    <w:rsid w:val="00470B5C"/>
    <w:rsid w:val="00497C6F"/>
    <w:rsid w:val="00550569"/>
    <w:rsid w:val="00567667"/>
    <w:rsid w:val="00584182"/>
    <w:rsid w:val="005C45E3"/>
    <w:rsid w:val="005E09D8"/>
    <w:rsid w:val="005E12FA"/>
    <w:rsid w:val="005E4C92"/>
    <w:rsid w:val="007018E5"/>
    <w:rsid w:val="00762EA3"/>
    <w:rsid w:val="007633F0"/>
    <w:rsid w:val="0076672F"/>
    <w:rsid w:val="00787BAA"/>
    <w:rsid w:val="007C113E"/>
    <w:rsid w:val="00800CCE"/>
    <w:rsid w:val="00822754"/>
    <w:rsid w:val="00822BE8"/>
    <w:rsid w:val="008D7E95"/>
    <w:rsid w:val="008F7D6F"/>
    <w:rsid w:val="00903145"/>
    <w:rsid w:val="0090595F"/>
    <w:rsid w:val="009326EC"/>
    <w:rsid w:val="00963485"/>
    <w:rsid w:val="009A095C"/>
    <w:rsid w:val="009C32F4"/>
    <w:rsid w:val="00A02050"/>
    <w:rsid w:val="00A04C2E"/>
    <w:rsid w:val="00AA1BCE"/>
    <w:rsid w:val="00AC5E6D"/>
    <w:rsid w:val="00B664BE"/>
    <w:rsid w:val="00C35538"/>
    <w:rsid w:val="00C61D51"/>
    <w:rsid w:val="00C80C67"/>
    <w:rsid w:val="00C93C03"/>
    <w:rsid w:val="00D30B6F"/>
    <w:rsid w:val="00D71149"/>
    <w:rsid w:val="00DA3C28"/>
    <w:rsid w:val="00DB097D"/>
    <w:rsid w:val="00DC4E2A"/>
    <w:rsid w:val="00DF15AE"/>
    <w:rsid w:val="00E77162"/>
    <w:rsid w:val="00ED22CE"/>
    <w:rsid w:val="00F2171B"/>
    <w:rsid w:val="00F90482"/>
    <w:rsid w:val="00FB5BBE"/>
    <w:rsid w:val="00FC0183"/>
    <w:rsid w:val="00FC502A"/>
    <w:rsid w:val="00FD2A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904CF"/>
  <w15:docId w15:val="{AF33DB24-700B-4980-9C54-DF1CD69DE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CO" w:eastAsia="es-ES" w:bidi="ar-SA"/>
      </w:rPr>
    </w:rPrDefault>
    <w:pPrDefault>
      <w:pPr>
        <w:widowControl w:val="0"/>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968"/>
    <w:pPr>
      <w:contextualSpacing/>
    </w:pPr>
    <w:rPr>
      <w:lang w:eastAsia="en-US"/>
    </w:rPr>
  </w:style>
  <w:style w:type="paragraph" w:styleId="Ttulo1">
    <w:name w:val="heading 1"/>
    <w:basedOn w:val="Normal"/>
    <w:next w:val="Normal"/>
    <w:link w:val="Ttulo1Car"/>
    <w:uiPriority w:val="9"/>
    <w:qFormat/>
    <w:rsid w:val="00D44018"/>
    <w:pPr>
      <w:keepNext/>
      <w:ind w:firstLine="0"/>
      <w:jc w:val="center"/>
      <w:outlineLvl w:val="0"/>
    </w:pPr>
    <w:rPr>
      <w:rFonts w:eastAsia="Times New Roman"/>
      <w:b/>
      <w:bCs/>
      <w:kern w:val="32"/>
      <w:szCs w:val="32"/>
    </w:rPr>
  </w:style>
  <w:style w:type="paragraph" w:styleId="Ttulo2">
    <w:name w:val="heading 2"/>
    <w:basedOn w:val="Normal"/>
    <w:next w:val="Normal"/>
    <w:link w:val="Ttulo2Car"/>
    <w:uiPriority w:val="9"/>
    <w:unhideWhenUsed/>
    <w:qFormat/>
    <w:rsid w:val="00EA2FA1"/>
    <w:pPr>
      <w:keepNext/>
      <w:keepLines/>
      <w:ind w:firstLine="0"/>
      <w:outlineLvl w:val="1"/>
    </w:pPr>
    <w:rPr>
      <w:rFonts w:eastAsia="Times New Roman"/>
      <w:b/>
      <w:bCs/>
      <w:caps/>
      <w:szCs w:val="26"/>
    </w:rPr>
  </w:style>
  <w:style w:type="paragraph" w:styleId="Ttulo3">
    <w:name w:val="heading 3"/>
    <w:basedOn w:val="Normal"/>
    <w:next w:val="Normal"/>
    <w:link w:val="Ttulo3Car"/>
    <w:uiPriority w:val="9"/>
    <w:unhideWhenUsed/>
    <w:qFormat/>
    <w:rsid w:val="00EA2FA1"/>
    <w:pPr>
      <w:ind w:firstLine="0"/>
      <w:outlineLvl w:val="2"/>
    </w:pPr>
    <w:rPr>
      <w:rFonts w:eastAsia="Times New Roman"/>
      <w:b/>
      <w:bCs/>
      <w:i/>
      <w:szCs w:val="27"/>
      <w:lang w:eastAsia="es-CO"/>
    </w:rPr>
  </w:style>
  <w:style w:type="paragraph" w:styleId="Ttulo4">
    <w:name w:val="heading 4"/>
    <w:basedOn w:val="Normal"/>
    <w:next w:val="Normal"/>
    <w:link w:val="Ttulo4Car"/>
    <w:uiPriority w:val="9"/>
    <w:semiHidden/>
    <w:unhideWhenUsed/>
    <w:qFormat/>
    <w:rsid w:val="005325CC"/>
    <w:pPr>
      <w:keepNext/>
      <w:keepLines/>
      <w:numPr>
        <w:ilvl w:val="3"/>
        <w:numId w:val="1"/>
      </w:numPr>
      <w:ind w:left="0" w:firstLine="720"/>
      <w:outlineLvl w:val="3"/>
    </w:pPr>
    <w:rPr>
      <w:rFonts w:eastAsiaTheme="majorEastAsia" w:cstheme="majorBidi"/>
      <w:b/>
      <w:bCs/>
      <w:iCs/>
    </w:rPr>
  </w:style>
  <w:style w:type="paragraph" w:styleId="Ttulo5">
    <w:name w:val="heading 5"/>
    <w:basedOn w:val="Normal"/>
    <w:next w:val="Normal"/>
    <w:link w:val="Ttulo5Car"/>
    <w:uiPriority w:val="9"/>
    <w:semiHidden/>
    <w:unhideWhenUsed/>
    <w:qFormat/>
    <w:rsid w:val="005325CC"/>
    <w:pPr>
      <w:keepNext/>
      <w:keepLines/>
      <w:numPr>
        <w:ilvl w:val="4"/>
        <w:numId w:val="1"/>
      </w:numPr>
      <w:ind w:left="0" w:firstLine="720"/>
      <w:outlineLvl w:val="4"/>
    </w:pPr>
    <w:rPr>
      <w:rFonts w:eastAsiaTheme="majorEastAsia" w:cstheme="majorBidi"/>
      <w:b/>
      <w:i/>
    </w:rPr>
  </w:style>
  <w:style w:type="paragraph" w:styleId="Ttulo6">
    <w:name w:val="heading 6"/>
    <w:basedOn w:val="Normal"/>
    <w:next w:val="Normal"/>
    <w:link w:val="Ttulo6Car"/>
    <w:uiPriority w:val="9"/>
    <w:semiHidden/>
    <w:unhideWhenUsed/>
    <w:qFormat/>
    <w:rsid w:val="002B3AF9"/>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2B3AF9"/>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2B3AF9"/>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2B3AF9"/>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941524"/>
    <w:pPr>
      <w:jc w:val="center"/>
    </w:pPr>
    <w:rPr>
      <w:rFonts w:eastAsiaTheme="majorEastAsia" w:cstheme="majorBidi"/>
      <w:b/>
      <w:spacing w:val="5"/>
      <w:kern w:val="28"/>
      <w:sz w:val="28"/>
      <w:szCs w:val="52"/>
    </w:rPr>
  </w:style>
  <w:style w:type="character" w:styleId="Hipervnculo">
    <w:name w:val="Hyperlink"/>
    <w:uiPriority w:val="99"/>
    <w:unhideWhenUsed/>
    <w:rsid w:val="00B20D61"/>
    <w:rPr>
      <w:color w:val="0000FF"/>
      <w:u w:val="single"/>
    </w:rPr>
  </w:style>
  <w:style w:type="paragraph" w:styleId="Prrafodelista">
    <w:name w:val="List Paragraph"/>
    <w:basedOn w:val="Normal"/>
    <w:uiPriority w:val="34"/>
    <w:qFormat/>
    <w:rsid w:val="00B20D61"/>
    <w:pPr>
      <w:ind w:left="720"/>
    </w:pPr>
  </w:style>
  <w:style w:type="character" w:customStyle="1" w:styleId="apple-converted-space">
    <w:name w:val="apple-converted-space"/>
    <w:basedOn w:val="Fuentedeprrafopredeter"/>
    <w:rsid w:val="00B20D61"/>
  </w:style>
  <w:style w:type="character" w:styleId="Refdecomentario">
    <w:name w:val="annotation reference"/>
    <w:uiPriority w:val="99"/>
    <w:semiHidden/>
    <w:unhideWhenUsed/>
    <w:rsid w:val="00802526"/>
    <w:rPr>
      <w:sz w:val="16"/>
      <w:szCs w:val="16"/>
    </w:rPr>
  </w:style>
  <w:style w:type="paragraph" w:styleId="Textocomentario">
    <w:name w:val="annotation text"/>
    <w:basedOn w:val="Normal"/>
    <w:link w:val="TextocomentarioCar"/>
    <w:uiPriority w:val="99"/>
    <w:unhideWhenUsed/>
    <w:rsid w:val="00802526"/>
    <w:rPr>
      <w:sz w:val="20"/>
      <w:szCs w:val="20"/>
    </w:rPr>
  </w:style>
  <w:style w:type="character" w:customStyle="1" w:styleId="TextocomentarioCar">
    <w:name w:val="Texto comentario Car"/>
    <w:link w:val="Textocomentario"/>
    <w:uiPriority w:val="99"/>
    <w:rsid w:val="00802526"/>
    <w:rPr>
      <w:sz w:val="20"/>
      <w:szCs w:val="20"/>
    </w:rPr>
  </w:style>
  <w:style w:type="paragraph" w:styleId="Asuntodelcomentario">
    <w:name w:val="annotation subject"/>
    <w:basedOn w:val="Textocomentario"/>
    <w:next w:val="Textocomentario"/>
    <w:link w:val="AsuntodelcomentarioCar"/>
    <w:uiPriority w:val="99"/>
    <w:semiHidden/>
    <w:unhideWhenUsed/>
    <w:rsid w:val="00802526"/>
    <w:rPr>
      <w:b/>
      <w:bCs/>
    </w:rPr>
  </w:style>
  <w:style w:type="character" w:customStyle="1" w:styleId="AsuntodelcomentarioCar">
    <w:name w:val="Asunto del comentario Car"/>
    <w:link w:val="Asuntodelcomentario"/>
    <w:uiPriority w:val="99"/>
    <w:semiHidden/>
    <w:rsid w:val="00802526"/>
    <w:rPr>
      <w:b/>
      <w:bCs/>
      <w:sz w:val="20"/>
      <w:szCs w:val="20"/>
    </w:rPr>
  </w:style>
  <w:style w:type="paragraph" w:styleId="Textodeglobo">
    <w:name w:val="Balloon Text"/>
    <w:basedOn w:val="Normal"/>
    <w:link w:val="TextodegloboCar"/>
    <w:uiPriority w:val="99"/>
    <w:semiHidden/>
    <w:unhideWhenUsed/>
    <w:rsid w:val="00802526"/>
    <w:rPr>
      <w:rFonts w:ascii="Tahoma" w:hAnsi="Tahoma" w:cs="Tahoma"/>
      <w:sz w:val="16"/>
      <w:szCs w:val="16"/>
    </w:rPr>
  </w:style>
  <w:style w:type="character" w:customStyle="1" w:styleId="TextodegloboCar">
    <w:name w:val="Texto de globo Car"/>
    <w:link w:val="Textodeglobo"/>
    <w:uiPriority w:val="99"/>
    <w:semiHidden/>
    <w:rsid w:val="00802526"/>
    <w:rPr>
      <w:rFonts w:ascii="Tahoma" w:hAnsi="Tahoma" w:cs="Tahoma"/>
      <w:sz w:val="16"/>
      <w:szCs w:val="16"/>
    </w:rPr>
  </w:style>
  <w:style w:type="paragraph" w:styleId="Encabezado">
    <w:name w:val="header"/>
    <w:basedOn w:val="Normal"/>
    <w:link w:val="EncabezadoCar"/>
    <w:uiPriority w:val="99"/>
    <w:unhideWhenUsed/>
    <w:rsid w:val="0043327B"/>
    <w:pPr>
      <w:tabs>
        <w:tab w:val="center" w:pos="4419"/>
        <w:tab w:val="right" w:pos="8838"/>
      </w:tabs>
    </w:pPr>
  </w:style>
  <w:style w:type="character" w:customStyle="1" w:styleId="EncabezadoCar">
    <w:name w:val="Encabezado Car"/>
    <w:link w:val="Encabezado"/>
    <w:uiPriority w:val="99"/>
    <w:rsid w:val="0043327B"/>
    <w:rPr>
      <w:sz w:val="22"/>
      <w:szCs w:val="22"/>
      <w:lang w:eastAsia="en-US"/>
    </w:rPr>
  </w:style>
  <w:style w:type="paragraph" w:styleId="Piedepgina">
    <w:name w:val="footer"/>
    <w:basedOn w:val="Normal"/>
    <w:link w:val="PiedepginaCar"/>
    <w:uiPriority w:val="99"/>
    <w:unhideWhenUsed/>
    <w:rsid w:val="0043327B"/>
    <w:pPr>
      <w:tabs>
        <w:tab w:val="center" w:pos="4419"/>
        <w:tab w:val="right" w:pos="8838"/>
      </w:tabs>
    </w:pPr>
  </w:style>
  <w:style w:type="character" w:customStyle="1" w:styleId="PiedepginaCar">
    <w:name w:val="Pie de página Car"/>
    <w:link w:val="Piedepgina"/>
    <w:uiPriority w:val="99"/>
    <w:rsid w:val="0043327B"/>
    <w:rPr>
      <w:sz w:val="22"/>
      <w:szCs w:val="22"/>
      <w:lang w:eastAsia="en-US"/>
    </w:rPr>
  </w:style>
  <w:style w:type="paragraph" w:styleId="Bibliografa">
    <w:name w:val="Bibliography"/>
    <w:basedOn w:val="Normal"/>
    <w:next w:val="Normal"/>
    <w:uiPriority w:val="37"/>
    <w:unhideWhenUsed/>
    <w:rsid w:val="001458E6"/>
  </w:style>
  <w:style w:type="character" w:styleId="Fuerte">
    <w:name w:val="Strong"/>
    <w:uiPriority w:val="22"/>
    <w:qFormat/>
    <w:rsid w:val="00D70A1F"/>
    <w:rPr>
      <w:b/>
      <w:bCs/>
    </w:rPr>
  </w:style>
  <w:style w:type="paragraph" w:styleId="NormalWeb">
    <w:name w:val="Normal (Web)"/>
    <w:basedOn w:val="Normal"/>
    <w:uiPriority w:val="99"/>
    <w:unhideWhenUsed/>
    <w:rsid w:val="00D70A1F"/>
    <w:pPr>
      <w:spacing w:before="100" w:beforeAutospacing="1" w:after="100" w:afterAutospacing="1"/>
    </w:pPr>
    <w:rPr>
      <w:rFonts w:eastAsia="Times New Roman"/>
      <w:szCs w:val="24"/>
      <w:lang w:eastAsia="es-CO"/>
    </w:rPr>
  </w:style>
  <w:style w:type="character" w:customStyle="1" w:styleId="Ttulo3Car">
    <w:name w:val="Título 3 Car"/>
    <w:link w:val="Ttulo3"/>
    <w:uiPriority w:val="9"/>
    <w:rsid w:val="00EA2FA1"/>
    <w:rPr>
      <w:rFonts w:ascii="Arial" w:eastAsia="Times New Roman" w:hAnsi="Arial"/>
      <w:b/>
      <w:bCs/>
      <w:i/>
      <w:sz w:val="22"/>
      <w:szCs w:val="27"/>
    </w:rPr>
  </w:style>
  <w:style w:type="paragraph" w:customStyle="1" w:styleId="estilo35">
    <w:name w:val="estilo35"/>
    <w:basedOn w:val="Normal"/>
    <w:rsid w:val="00096B12"/>
    <w:pPr>
      <w:spacing w:before="100" w:beforeAutospacing="1" w:after="100" w:afterAutospacing="1"/>
    </w:pPr>
    <w:rPr>
      <w:rFonts w:eastAsia="Times New Roman"/>
      <w:szCs w:val="24"/>
      <w:lang w:eastAsia="es-CO"/>
    </w:rPr>
  </w:style>
  <w:style w:type="paragraph" w:styleId="Sangradetextonormal">
    <w:name w:val="Body Text Indent"/>
    <w:basedOn w:val="Normal"/>
    <w:link w:val="SangradetextonormalCar"/>
    <w:uiPriority w:val="99"/>
    <w:semiHidden/>
    <w:unhideWhenUsed/>
    <w:rsid w:val="00672016"/>
    <w:pPr>
      <w:spacing w:before="100" w:beforeAutospacing="1" w:after="100" w:afterAutospacing="1"/>
    </w:pPr>
    <w:rPr>
      <w:rFonts w:eastAsia="Times New Roman"/>
      <w:szCs w:val="24"/>
      <w:lang w:eastAsia="es-CO"/>
    </w:rPr>
  </w:style>
  <w:style w:type="character" w:customStyle="1" w:styleId="SangradetextonormalCar">
    <w:name w:val="Sangría de texto normal Car"/>
    <w:link w:val="Sangradetextonormal"/>
    <w:uiPriority w:val="99"/>
    <w:semiHidden/>
    <w:rsid w:val="00672016"/>
    <w:rPr>
      <w:rFonts w:ascii="Times New Roman" w:eastAsia="Times New Roman" w:hAnsi="Times New Roman"/>
      <w:sz w:val="24"/>
      <w:szCs w:val="24"/>
    </w:rPr>
  </w:style>
  <w:style w:type="table" w:styleId="Tablaconcuadrcula">
    <w:name w:val="Table Grid"/>
    <w:basedOn w:val="Tablanormal"/>
    <w:uiPriority w:val="59"/>
    <w:rsid w:val="00887AB2"/>
    <w:rPr>
      <w:sz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uiPriority w:val="20"/>
    <w:qFormat/>
    <w:rsid w:val="00000F88"/>
    <w:rPr>
      <w:i/>
      <w:iCs/>
    </w:rPr>
  </w:style>
  <w:style w:type="character" w:customStyle="1" w:styleId="adtext">
    <w:name w:val="adtext"/>
    <w:rsid w:val="00000F88"/>
  </w:style>
  <w:style w:type="character" w:customStyle="1" w:styleId="Ttulo1Car">
    <w:name w:val="Título 1 Car"/>
    <w:link w:val="Ttulo1"/>
    <w:uiPriority w:val="9"/>
    <w:rsid w:val="00D44018"/>
    <w:rPr>
      <w:rFonts w:ascii="Arial" w:eastAsia="Times New Roman" w:hAnsi="Arial"/>
      <w:b/>
      <w:bCs/>
      <w:kern w:val="32"/>
      <w:sz w:val="22"/>
      <w:szCs w:val="32"/>
      <w:lang w:eastAsia="en-US"/>
    </w:rPr>
  </w:style>
  <w:style w:type="paragraph" w:styleId="TtuloTDC">
    <w:name w:val="TOC Heading"/>
    <w:basedOn w:val="Ttulo1"/>
    <w:next w:val="Normal"/>
    <w:uiPriority w:val="39"/>
    <w:unhideWhenUsed/>
    <w:qFormat/>
    <w:rsid w:val="00A57E7F"/>
    <w:pPr>
      <w:keepLines/>
      <w:spacing w:before="480" w:line="276" w:lineRule="auto"/>
      <w:outlineLvl w:val="9"/>
    </w:pPr>
    <w:rPr>
      <w:color w:val="365F91"/>
      <w:kern w:val="0"/>
      <w:szCs w:val="28"/>
      <w:lang w:val="es-ES" w:eastAsia="es-ES"/>
    </w:rPr>
  </w:style>
  <w:style w:type="paragraph" w:styleId="TDC3">
    <w:name w:val="toc 3"/>
    <w:basedOn w:val="Normal"/>
    <w:next w:val="Normal"/>
    <w:autoRedefine/>
    <w:uiPriority w:val="39"/>
    <w:unhideWhenUsed/>
    <w:qFormat/>
    <w:rsid w:val="00B1431E"/>
    <w:pPr>
      <w:tabs>
        <w:tab w:val="left" w:leader="dot" w:pos="1320"/>
        <w:tab w:val="right" w:leader="dot" w:pos="9628"/>
      </w:tabs>
      <w:ind w:left="1440" w:firstLine="0"/>
    </w:pPr>
  </w:style>
  <w:style w:type="paragraph" w:styleId="TDC2">
    <w:name w:val="toc 2"/>
    <w:basedOn w:val="Normal"/>
    <w:next w:val="Normal"/>
    <w:autoRedefine/>
    <w:uiPriority w:val="39"/>
    <w:unhideWhenUsed/>
    <w:qFormat/>
    <w:rsid w:val="00AA2618"/>
    <w:pPr>
      <w:tabs>
        <w:tab w:val="left" w:pos="1276"/>
        <w:tab w:val="right" w:leader="dot" w:pos="9673"/>
      </w:tabs>
      <w:ind w:left="720" w:firstLine="0"/>
    </w:pPr>
    <w:rPr>
      <w:rFonts w:eastAsia="Times New Roman"/>
      <w:noProof/>
      <w:lang w:val="es-ES" w:eastAsia="es-ES"/>
    </w:rPr>
  </w:style>
  <w:style w:type="paragraph" w:styleId="TDC1">
    <w:name w:val="toc 1"/>
    <w:basedOn w:val="Normal"/>
    <w:next w:val="Normal"/>
    <w:autoRedefine/>
    <w:uiPriority w:val="39"/>
    <w:unhideWhenUsed/>
    <w:qFormat/>
    <w:rsid w:val="00B1431E"/>
    <w:pPr>
      <w:tabs>
        <w:tab w:val="right" w:leader="dot" w:pos="9350"/>
      </w:tabs>
      <w:ind w:firstLine="0"/>
    </w:pPr>
    <w:rPr>
      <w:rFonts w:eastAsia="Times New Roman"/>
      <w:lang w:val="es-ES" w:eastAsia="es-ES"/>
    </w:rPr>
  </w:style>
  <w:style w:type="character" w:customStyle="1" w:styleId="Ttulo2Car">
    <w:name w:val="Título 2 Car"/>
    <w:link w:val="Ttulo2"/>
    <w:uiPriority w:val="9"/>
    <w:rsid w:val="00EA2FA1"/>
    <w:rPr>
      <w:rFonts w:ascii="Arial" w:eastAsia="Times New Roman" w:hAnsi="Arial"/>
      <w:b/>
      <w:bCs/>
      <w:caps/>
      <w:sz w:val="22"/>
      <w:szCs w:val="26"/>
      <w:lang w:eastAsia="en-US"/>
    </w:rPr>
  </w:style>
  <w:style w:type="character" w:customStyle="1" w:styleId="TtuloCar">
    <w:name w:val="Título Car"/>
    <w:basedOn w:val="Fuentedeprrafopredeter"/>
    <w:link w:val="Ttulo"/>
    <w:uiPriority w:val="10"/>
    <w:rsid w:val="00941524"/>
    <w:rPr>
      <w:rFonts w:ascii="Arial" w:eastAsiaTheme="majorEastAsia" w:hAnsi="Arial" w:cstheme="majorBidi"/>
      <w:b/>
      <w:spacing w:val="5"/>
      <w:kern w:val="28"/>
      <w:sz w:val="28"/>
      <w:szCs w:val="52"/>
      <w:lang w:eastAsia="en-US"/>
    </w:rPr>
  </w:style>
  <w:style w:type="character" w:customStyle="1" w:styleId="Ttulo4Car">
    <w:name w:val="Título 4 Car"/>
    <w:basedOn w:val="Fuentedeprrafopredeter"/>
    <w:link w:val="Ttulo4"/>
    <w:uiPriority w:val="9"/>
    <w:rsid w:val="005325CC"/>
    <w:rPr>
      <w:rFonts w:ascii="Times New Roman" w:eastAsiaTheme="majorEastAsia" w:hAnsi="Times New Roman" w:cstheme="majorBidi"/>
      <w:b/>
      <w:bCs/>
      <w:iCs/>
      <w:sz w:val="24"/>
      <w:szCs w:val="22"/>
      <w:lang w:eastAsia="en-US"/>
    </w:rPr>
  </w:style>
  <w:style w:type="character" w:customStyle="1" w:styleId="Ttulo5Car">
    <w:name w:val="Título 5 Car"/>
    <w:basedOn w:val="Fuentedeprrafopredeter"/>
    <w:link w:val="Ttulo5"/>
    <w:uiPriority w:val="9"/>
    <w:rsid w:val="005325CC"/>
    <w:rPr>
      <w:rFonts w:ascii="Times New Roman" w:eastAsiaTheme="majorEastAsia" w:hAnsi="Times New Roman" w:cstheme="majorBidi"/>
      <w:b/>
      <w:i/>
      <w:sz w:val="24"/>
      <w:szCs w:val="22"/>
      <w:lang w:eastAsia="en-US"/>
    </w:rPr>
  </w:style>
  <w:style w:type="character" w:customStyle="1" w:styleId="Ttulo6Car">
    <w:name w:val="Título 6 Car"/>
    <w:basedOn w:val="Fuentedeprrafopredeter"/>
    <w:link w:val="Ttulo6"/>
    <w:uiPriority w:val="9"/>
    <w:semiHidden/>
    <w:rsid w:val="002B3AF9"/>
    <w:rPr>
      <w:rFonts w:asciiTheme="majorHAnsi" w:eastAsiaTheme="majorEastAsia" w:hAnsiTheme="majorHAnsi" w:cstheme="majorBidi"/>
      <w:i/>
      <w:iCs/>
      <w:color w:val="243F60" w:themeColor="accent1" w:themeShade="7F"/>
      <w:sz w:val="24"/>
      <w:szCs w:val="22"/>
      <w:lang w:eastAsia="en-US"/>
    </w:rPr>
  </w:style>
  <w:style w:type="character" w:customStyle="1" w:styleId="Ttulo7Car">
    <w:name w:val="Título 7 Car"/>
    <w:basedOn w:val="Fuentedeprrafopredeter"/>
    <w:link w:val="Ttulo7"/>
    <w:uiPriority w:val="9"/>
    <w:semiHidden/>
    <w:rsid w:val="002B3AF9"/>
    <w:rPr>
      <w:rFonts w:asciiTheme="majorHAnsi" w:eastAsiaTheme="majorEastAsia" w:hAnsiTheme="majorHAnsi" w:cstheme="majorBidi"/>
      <w:i/>
      <w:iCs/>
      <w:color w:val="404040" w:themeColor="text1" w:themeTint="BF"/>
      <w:sz w:val="24"/>
      <w:szCs w:val="22"/>
      <w:lang w:eastAsia="en-US"/>
    </w:rPr>
  </w:style>
  <w:style w:type="character" w:customStyle="1" w:styleId="Ttulo8Car">
    <w:name w:val="Título 8 Car"/>
    <w:basedOn w:val="Fuentedeprrafopredeter"/>
    <w:link w:val="Ttulo8"/>
    <w:uiPriority w:val="9"/>
    <w:semiHidden/>
    <w:rsid w:val="002B3AF9"/>
    <w:rPr>
      <w:rFonts w:asciiTheme="majorHAnsi" w:eastAsiaTheme="majorEastAsia" w:hAnsiTheme="majorHAnsi" w:cstheme="majorBidi"/>
      <w:color w:val="404040" w:themeColor="text1" w:themeTint="BF"/>
      <w:lang w:eastAsia="en-US"/>
    </w:rPr>
  </w:style>
  <w:style w:type="character" w:customStyle="1" w:styleId="Ttulo9Car">
    <w:name w:val="Título 9 Car"/>
    <w:basedOn w:val="Fuentedeprrafopredeter"/>
    <w:link w:val="Ttulo9"/>
    <w:uiPriority w:val="9"/>
    <w:semiHidden/>
    <w:rsid w:val="002B3AF9"/>
    <w:rPr>
      <w:rFonts w:asciiTheme="majorHAnsi" w:eastAsiaTheme="majorEastAsia" w:hAnsiTheme="majorHAnsi" w:cstheme="majorBidi"/>
      <w:i/>
      <w:iCs/>
      <w:color w:val="404040" w:themeColor="text1" w:themeTint="BF"/>
      <w:lang w:eastAsia="en-US"/>
    </w:rPr>
  </w:style>
  <w:style w:type="paragraph" w:styleId="Descripcin">
    <w:name w:val="caption"/>
    <w:basedOn w:val="Normal"/>
    <w:next w:val="Normal"/>
    <w:unhideWhenUsed/>
    <w:qFormat/>
    <w:rsid w:val="00750E8C"/>
    <w:pPr>
      <w:ind w:firstLine="0"/>
    </w:pPr>
    <w:rPr>
      <w:rFonts w:eastAsiaTheme="minorHAnsi" w:cstheme="minorBidi"/>
      <w:b/>
      <w:bCs/>
      <w:szCs w:val="18"/>
    </w:rPr>
  </w:style>
  <w:style w:type="paragraph" w:customStyle="1" w:styleId="FuenteTabla">
    <w:name w:val="FuenteTabla"/>
    <w:basedOn w:val="Normal"/>
    <w:next w:val="Normal"/>
    <w:qFormat/>
    <w:rsid w:val="00ED6A00"/>
    <w:pPr>
      <w:spacing w:line="240" w:lineRule="auto"/>
      <w:ind w:firstLine="0"/>
      <w:jc w:val="center"/>
    </w:pPr>
    <w:rPr>
      <w:rFonts w:eastAsiaTheme="minorHAnsi" w:cstheme="minorBidi"/>
      <w:sz w:val="18"/>
    </w:rPr>
  </w:style>
  <w:style w:type="paragraph" w:styleId="Tabladeilustraciones">
    <w:name w:val="table of figures"/>
    <w:basedOn w:val="Normal"/>
    <w:next w:val="Normal"/>
    <w:uiPriority w:val="99"/>
    <w:unhideWhenUsed/>
    <w:rsid w:val="007F7BB5"/>
    <w:pPr>
      <w:ind w:firstLine="0"/>
    </w:pPr>
  </w:style>
  <w:style w:type="character" w:styleId="Hipervnculovisitado">
    <w:name w:val="FollowedHyperlink"/>
    <w:basedOn w:val="Fuentedeprrafopredeter"/>
    <w:uiPriority w:val="99"/>
    <w:semiHidden/>
    <w:unhideWhenUsed/>
    <w:rsid w:val="00BD4DC0"/>
    <w:rPr>
      <w:color w:val="800080" w:themeColor="followedHyperlink"/>
      <w:u w:val="single"/>
    </w:rPr>
  </w:style>
  <w:style w:type="character" w:customStyle="1" w:styleId="Mencinsinresolver1">
    <w:name w:val="Mención sin resolver1"/>
    <w:basedOn w:val="Fuentedeprrafopredeter"/>
    <w:uiPriority w:val="99"/>
    <w:semiHidden/>
    <w:unhideWhenUsed/>
    <w:rsid w:val="00DB4397"/>
    <w:rPr>
      <w:color w:val="605E5C"/>
      <w:shd w:val="clear" w:color="auto" w:fill="E1DFDD"/>
    </w:rPr>
  </w:style>
  <w:style w:type="table" w:styleId="Tablanormal2">
    <w:name w:val="Plain Table 2"/>
    <w:basedOn w:val="Tablanormal"/>
    <w:uiPriority w:val="42"/>
    <w:rsid w:val="00ED6A0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Notadetabla">
    <w:name w:val="Nota de tabla"/>
    <w:basedOn w:val="Normal"/>
    <w:link w:val="NotadetablaCar"/>
    <w:qFormat/>
    <w:rsid w:val="00FB7E2D"/>
    <w:pPr>
      <w:spacing w:line="240" w:lineRule="auto"/>
      <w:ind w:left="720" w:firstLine="0"/>
    </w:pPr>
    <w:rPr>
      <w:iCs/>
      <w:sz w:val="20"/>
    </w:rPr>
  </w:style>
  <w:style w:type="character" w:customStyle="1" w:styleId="NotadetablaCar">
    <w:name w:val="Nota de tabla Car"/>
    <w:basedOn w:val="Fuentedeprrafopredeter"/>
    <w:link w:val="Notadetabla"/>
    <w:rsid w:val="00FB7E2D"/>
    <w:rPr>
      <w:rFonts w:ascii="Arial" w:hAnsi="Arial"/>
      <w:iCs/>
      <w:szCs w:val="22"/>
      <w:lang w:eastAsia="en-US"/>
    </w:rPr>
  </w:style>
  <w:style w:type="paragraph" w:customStyle="1" w:styleId="Default">
    <w:name w:val="Default"/>
    <w:rsid w:val="007A087B"/>
    <w:pPr>
      <w:autoSpaceDE w:val="0"/>
      <w:autoSpaceDN w:val="0"/>
      <w:adjustRightInd w:val="0"/>
    </w:pPr>
    <w:rPr>
      <w:rFonts w:ascii="Times New Roman" w:hAnsi="Times New Roman"/>
      <w:color w:val="000000"/>
      <w:sz w:val="24"/>
      <w:szCs w:val="24"/>
    </w:rPr>
  </w:style>
  <w:style w:type="paragraph" w:customStyle="1" w:styleId="Referenciabibliogrfica">
    <w:name w:val="Referencia bibliográfica"/>
    <w:basedOn w:val="Normal"/>
    <w:link w:val="ReferenciabibliogrficaCar"/>
    <w:qFormat/>
    <w:rsid w:val="00BB1C43"/>
    <w:pPr>
      <w:ind w:left="720" w:hanging="720"/>
    </w:pPr>
    <w:rPr>
      <w:szCs w:val="24"/>
    </w:rPr>
  </w:style>
  <w:style w:type="character" w:customStyle="1" w:styleId="ReferenciabibliogrficaCar">
    <w:name w:val="Referencia bibliográfica Car"/>
    <w:basedOn w:val="Fuentedeprrafopredeter"/>
    <w:link w:val="Referenciabibliogrfica"/>
    <w:rsid w:val="00BB1C43"/>
    <w:rPr>
      <w:rFonts w:ascii="Arial" w:hAnsi="Arial" w:cs="Arial"/>
      <w:sz w:val="22"/>
      <w:szCs w:val="24"/>
      <w:lang w:eastAsia="en-U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Mencinsinresolver">
    <w:name w:val="Unresolved Mention"/>
    <w:basedOn w:val="Fuentedeprrafopredeter"/>
    <w:uiPriority w:val="99"/>
    <w:semiHidden/>
    <w:unhideWhenUsed/>
    <w:rsid w:val="005E4C92"/>
    <w:rPr>
      <w:color w:val="605E5C"/>
      <w:shd w:val="clear" w:color="auto" w:fill="E1DFDD"/>
    </w:rPr>
  </w:style>
  <w:style w:type="paragraph" w:styleId="Sinespaciado">
    <w:name w:val="No Spacing"/>
    <w:uiPriority w:val="1"/>
    <w:qFormat/>
    <w:rsid w:val="009A095C"/>
    <w:pPr>
      <w:widowControl/>
      <w:ind w:firstLine="0"/>
    </w:pPr>
    <w:rPr>
      <w:rFonts w:ascii="Times New Roman" w:eastAsia="Calibri" w:hAnsi="Times New Roman" w:cs="Calibri"/>
      <w:color w:val="000000"/>
      <w:sz w:val="24"/>
      <w:lang w:eastAsia="es-CO"/>
    </w:rPr>
  </w:style>
  <w:style w:type="paragraph" w:customStyle="1" w:styleId="isselectedend">
    <w:name w:val="isselectedend"/>
    <w:basedOn w:val="Normal"/>
    <w:rsid w:val="00001B28"/>
    <w:pPr>
      <w:widowControl/>
      <w:spacing w:before="100" w:beforeAutospacing="1" w:after="100" w:afterAutospacing="1" w:line="240" w:lineRule="auto"/>
      <w:ind w:firstLine="0"/>
      <w:contextualSpacing w:val="0"/>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13434">
      <w:bodyDiv w:val="1"/>
      <w:marLeft w:val="0"/>
      <w:marRight w:val="0"/>
      <w:marTop w:val="0"/>
      <w:marBottom w:val="0"/>
      <w:divBdr>
        <w:top w:val="none" w:sz="0" w:space="0" w:color="auto"/>
        <w:left w:val="none" w:sz="0" w:space="0" w:color="auto"/>
        <w:bottom w:val="none" w:sz="0" w:space="0" w:color="auto"/>
        <w:right w:val="none" w:sz="0" w:space="0" w:color="auto"/>
      </w:divBdr>
    </w:div>
    <w:div w:id="191114160">
      <w:bodyDiv w:val="1"/>
      <w:marLeft w:val="0"/>
      <w:marRight w:val="0"/>
      <w:marTop w:val="0"/>
      <w:marBottom w:val="0"/>
      <w:divBdr>
        <w:top w:val="none" w:sz="0" w:space="0" w:color="auto"/>
        <w:left w:val="none" w:sz="0" w:space="0" w:color="auto"/>
        <w:bottom w:val="none" w:sz="0" w:space="0" w:color="auto"/>
        <w:right w:val="none" w:sz="0" w:space="0" w:color="auto"/>
      </w:divBdr>
    </w:div>
    <w:div w:id="332031924">
      <w:bodyDiv w:val="1"/>
      <w:marLeft w:val="0"/>
      <w:marRight w:val="0"/>
      <w:marTop w:val="0"/>
      <w:marBottom w:val="0"/>
      <w:divBdr>
        <w:top w:val="none" w:sz="0" w:space="0" w:color="auto"/>
        <w:left w:val="none" w:sz="0" w:space="0" w:color="auto"/>
        <w:bottom w:val="none" w:sz="0" w:space="0" w:color="auto"/>
        <w:right w:val="none" w:sz="0" w:space="0" w:color="auto"/>
      </w:divBdr>
    </w:div>
    <w:div w:id="414478647">
      <w:bodyDiv w:val="1"/>
      <w:marLeft w:val="0"/>
      <w:marRight w:val="0"/>
      <w:marTop w:val="0"/>
      <w:marBottom w:val="0"/>
      <w:divBdr>
        <w:top w:val="none" w:sz="0" w:space="0" w:color="auto"/>
        <w:left w:val="none" w:sz="0" w:space="0" w:color="auto"/>
        <w:bottom w:val="none" w:sz="0" w:space="0" w:color="auto"/>
        <w:right w:val="none" w:sz="0" w:space="0" w:color="auto"/>
      </w:divBdr>
    </w:div>
    <w:div w:id="415252708">
      <w:bodyDiv w:val="1"/>
      <w:marLeft w:val="0"/>
      <w:marRight w:val="0"/>
      <w:marTop w:val="0"/>
      <w:marBottom w:val="0"/>
      <w:divBdr>
        <w:top w:val="none" w:sz="0" w:space="0" w:color="auto"/>
        <w:left w:val="none" w:sz="0" w:space="0" w:color="auto"/>
        <w:bottom w:val="none" w:sz="0" w:space="0" w:color="auto"/>
        <w:right w:val="none" w:sz="0" w:space="0" w:color="auto"/>
      </w:divBdr>
    </w:div>
    <w:div w:id="475226024">
      <w:bodyDiv w:val="1"/>
      <w:marLeft w:val="0"/>
      <w:marRight w:val="0"/>
      <w:marTop w:val="0"/>
      <w:marBottom w:val="0"/>
      <w:divBdr>
        <w:top w:val="none" w:sz="0" w:space="0" w:color="auto"/>
        <w:left w:val="none" w:sz="0" w:space="0" w:color="auto"/>
        <w:bottom w:val="none" w:sz="0" w:space="0" w:color="auto"/>
        <w:right w:val="none" w:sz="0" w:space="0" w:color="auto"/>
      </w:divBdr>
    </w:div>
    <w:div w:id="738021177">
      <w:bodyDiv w:val="1"/>
      <w:marLeft w:val="0"/>
      <w:marRight w:val="0"/>
      <w:marTop w:val="0"/>
      <w:marBottom w:val="0"/>
      <w:divBdr>
        <w:top w:val="none" w:sz="0" w:space="0" w:color="auto"/>
        <w:left w:val="none" w:sz="0" w:space="0" w:color="auto"/>
        <w:bottom w:val="none" w:sz="0" w:space="0" w:color="auto"/>
        <w:right w:val="none" w:sz="0" w:space="0" w:color="auto"/>
      </w:divBdr>
    </w:div>
    <w:div w:id="755322709">
      <w:bodyDiv w:val="1"/>
      <w:marLeft w:val="0"/>
      <w:marRight w:val="0"/>
      <w:marTop w:val="0"/>
      <w:marBottom w:val="0"/>
      <w:divBdr>
        <w:top w:val="none" w:sz="0" w:space="0" w:color="auto"/>
        <w:left w:val="none" w:sz="0" w:space="0" w:color="auto"/>
        <w:bottom w:val="none" w:sz="0" w:space="0" w:color="auto"/>
        <w:right w:val="none" w:sz="0" w:space="0" w:color="auto"/>
      </w:divBdr>
    </w:div>
    <w:div w:id="774903961">
      <w:bodyDiv w:val="1"/>
      <w:marLeft w:val="0"/>
      <w:marRight w:val="0"/>
      <w:marTop w:val="0"/>
      <w:marBottom w:val="0"/>
      <w:divBdr>
        <w:top w:val="none" w:sz="0" w:space="0" w:color="auto"/>
        <w:left w:val="none" w:sz="0" w:space="0" w:color="auto"/>
        <w:bottom w:val="none" w:sz="0" w:space="0" w:color="auto"/>
        <w:right w:val="none" w:sz="0" w:space="0" w:color="auto"/>
      </w:divBdr>
    </w:div>
    <w:div w:id="873543337">
      <w:bodyDiv w:val="1"/>
      <w:marLeft w:val="0"/>
      <w:marRight w:val="0"/>
      <w:marTop w:val="0"/>
      <w:marBottom w:val="0"/>
      <w:divBdr>
        <w:top w:val="none" w:sz="0" w:space="0" w:color="auto"/>
        <w:left w:val="none" w:sz="0" w:space="0" w:color="auto"/>
        <w:bottom w:val="none" w:sz="0" w:space="0" w:color="auto"/>
        <w:right w:val="none" w:sz="0" w:space="0" w:color="auto"/>
      </w:divBdr>
    </w:div>
    <w:div w:id="911547735">
      <w:bodyDiv w:val="1"/>
      <w:marLeft w:val="0"/>
      <w:marRight w:val="0"/>
      <w:marTop w:val="0"/>
      <w:marBottom w:val="0"/>
      <w:divBdr>
        <w:top w:val="none" w:sz="0" w:space="0" w:color="auto"/>
        <w:left w:val="none" w:sz="0" w:space="0" w:color="auto"/>
        <w:bottom w:val="none" w:sz="0" w:space="0" w:color="auto"/>
        <w:right w:val="none" w:sz="0" w:space="0" w:color="auto"/>
      </w:divBdr>
    </w:div>
    <w:div w:id="934244313">
      <w:bodyDiv w:val="1"/>
      <w:marLeft w:val="0"/>
      <w:marRight w:val="0"/>
      <w:marTop w:val="0"/>
      <w:marBottom w:val="0"/>
      <w:divBdr>
        <w:top w:val="none" w:sz="0" w:space="0" w:color="auto"/>
        <w:left w:val="none" w:sz="0" w:space="0" w:color="auto"/>
        <w:bottom w:val="none" w:sz="0" w:space="0" w:color="auto"/>
        <w:right w:val="none" w:sz="0" w:space="0" w:color="auto"/>
      </w:divBdr>
    </w:div>
    <w:div w:id="975718438">
      <w:bodyDiv w:val="1"/>
      <w:marLeft w:val="0"/>
      <w:marRight w:val="0"/>
      <w:marTop w:val="0"/>
      <w:marBottom w:val="0"/>
      <w:divBdr>
        <w:top w:val="none" w:sz="0" w:space="0" w:color="auto"/>
        <w:left w:val="none" w:sz="0" w:space="0" w:color="auto"/>
        <w:bottom w:val="none" w:sz="0" w:space="0" w:color="auto"/>
        <w:right w:val="none" w:sz="0" w:space="0" w:color="auto"/>
      </w:divBdr>
    </w:div>
    <w:div w:id="1013916509">
      <w:bodyDiv w:val="1"/>
      <w:marLeft w:val="0"/>
      <w:marRight w:val="0"/>
      <w:marTop w:val="0"/>
      <w:marBottom w:val="0"/>
      <w:divBdr>
        <w:top w:val="none" w:sz="0" w:space="0" w:color="auto"/>
        <w:left w:val="none" w:sz="0" w:space="0" w:color="auto"/>
        <w:bottom w:val="none" w:sz="0" w:space="0" w:color="auto"/>
        <w:right w:val="none" w:sz="0" w:space="0" w:color="auto"/>
      </w:divBdr>
    </w:div>
    <w:div w:id="1188718345">
      <w:bodyDiv w:val="1"/>
      <w:marLeft w:val="0"/>
      <w:marRight w:val="0"/>
      <w:marTop w:val="0"/>
      <w:marBottom w:val="0"/>
      <w:divBdr>
        <w:top w:val="none" w:sz="0" w:space="0" w:color="auto"/>
        <w:left w:val="none" w:sz="0" w:space="0" w:color="auto"/>
        <w:bottom w:val="none" w:sz="0" w:space="0" w:color="auto"/>
        <w:right w:val="none" w:sz="0" w:space="0" w:color="auto"/>
      </w:divBdr>
    </w:div>
    <w:div w:id="1264723962">
      <w:bodyDiv w:val="1"/>
      <w:marLeft w:val="0"/>
      <w:marRight w:val="0"/>
      <w:marTop w:val="0"/>
      <w:marBottom w:val="0"/>
      <w:divBdr>
        <w:top w:val="none" w:sz="0" w:space="0" w:color="auto"/>
        <w:left w:val="none" w:sz="0" w:space="0" w:color="auto"/>
        <w:bottom w:val="none" w:sz="0" w:space="0" w:color="auto"/>
        <w:right w:val="none" w:sz="0" w:space="0" w:color="auto"/>
      </w:divBdr>
    </w:div>
    <w:div w:id="1549957216">
      <w:bodyDiv w:val="1"/>
      <w:marLeft w:val="0"/>
      <w:marRight w:val="0"/>
      <w:marTop w:val="0"/>
      <w:marBottom w:val="0"/>
      <w:divBdr>
        <w:top w:val="none" w:sz="0" w:space="0" w:color="auto"/>
        <w:left w:val="none" w:sz="0" w:space="0" w:color="auto"/>
        <w:bottom w:val="none" w:sz="0" w:space="0" w:color="auto"/>
        <w:right w:val="none" w:sz="0" w:space="0" w:color="auto"/>
      </w:divBdr>
    </w:div>
    <w:div w:id="1587035295">
      <w:bodyDiv w:val="1"/>
      <w:marLeft w:val="0"/>
      <w:marRight w:val="0"/>
      <w:marTop w:val="0"/>
      <w:marBottom w:val="0"/>
      <w:divBdr>
        <w:top w:val="none" w:sz="0" w:space="0" w:color="auto"/>
        <w:left w:val="none" w:sz="0" w:space="0" w:color="auto"/>
        <w:bottom w:val="none" w:sz="0" w:space="0" w:color="auto"/>
        <w:right w:val="none" w:sz="0" w:space="0" w:color="auto"/>
      </w:divBdr>
    </w:div>
    <w:div w:id="1589919074">
      <w:bodyDiv w:val="1"/>
      <w:marLeft w:val="0"/>
      <w:marRight w:val="0"/>
      <w:marTop w:val="0"/>
      <w:marBottom w:val="0"/>
      <w:divBdr>
        <w:top w:val="none" w:sz="0" w:space="0" w:color="auto"/>
        <w:left w:val="none" w:sz="0" w:space="0" w:color="auto"/>
        <w:bottom w:val="none" w:sz="0" w:space="0" w:color="auto"/>
        <w:right w:val="none" w:sz="0" w:space="0" w:color="auto"/>
      </w:divBdr>
    </w:div>
    <w:div w:id="1785691786">
      <w:bodyDiv w:val="1"/>
      <w:marLeft w:val="0"/>
      <w:marRight w:val="0"/>
      <w:marTop w:val="0"/>
      <w:marBottom w:val="0"/>
      <w:divBdr>
        <w:top w:val="none" w:sz="0" w:space="0" w:color="auto"/>
        <w:left w:val="none" w:sz="0" w:space="0" w:color="auto"/>
        <w:bottom w:val="none" w:sz="0" w:space="0" w:color="auto"/>
        <w:right w:val="none" w:sz="0" w:space="0" w:color="auto"/>
      </w:divBdr>
    </w:div>
    <w:div w:id="1810895660">
      <w:bodyDiv w:val="1"/>
      <w:marLeft w:val="0"/>
      <w:marRight w:val="0"/>
      <w:marTop w:val="0"/>
      <w:marBottom w:val="0"/>
      <w:divBdr>
        <w:top w:val="none" w:sz="0" w:space="0" w:color="auto"/>
        <w:left w:val="none" w:sz="0" w:space="0" w:color="auto"/>
        <w:bottom w:val="none" w:sz="0" w:space="0" w:color="auto"/>
        <w:right w:val="none" w:sz="0" w:space="0" w:color="auto"/>
      </w:divBdr>
    </w:div>
    <w:div w:id="1830949015">
      <w:bodyDiv w:val="1"/>
      <w:marLeft w:val="0"/>
      <w:marRight w:val="0"/>
      <w:marTop w:val="0"/>
      <w:marBottom w:val="0"/>
      <w:divBdr>
        <w:top w:val="none" w:sz="0" w:space="0" w:color="auto"/>
        <w:left w:val="none" w:sz="0" w:space="0" w:color="auto"/>
        <w:bottom w:val="none" w:sz="0" w:space="0" w:color="auto"/>
        <w:right w:val="none" w:sz="0" w:space="0" w:color="auto"/>
      </w:divBdr>
    </w:div>
    <w:div w:id="1846046819">
      <w:bodyDiv w:val="1"/>
      <w:marLeft w:val="0"/>
      <w:marRight w:val="0"/>
      <w:marTop w:val="0"/>
      <w:marBottom w:val="0"/>
      <w:divBdr>
        <w:top w:val="none" w:sz="0" w:space="0" w:color="auto"/>
        <w:left w:val="none" w:sz="0" w:space="0" w:color="auto"/>
        <w:bottom w:val="none" w:sz="0" w:space="0" w:color="auto"/>
        <w:right w:val="none" w:sz="0" w:space="0" w:color="auto"/>
      </w:divBdr>
    </w:div>
    <w:div w:id="1891071945">
      <w:bodyDiv w:val="1"/>
      <w:marLeft w:val="0"/>
      <w:marRight w:val="0"/>
      <w:marTop w:val="0"/>
      <w:marBottom w:val="0"/>
      <w:divBdr>
        <w:top w:val="none" w:sz="0" w:space="0" w:color="auto"/>
        <w:left w:val="none" w:sz="0" w:space="0" w:color="auto"/>
        <w:bottom w:val="none" w:sz="0" w:space="0" w:color="auto"/>
        <w:right w:val="none" w:sz="0" w:space="0" w:color="auto"/>
      </w:divBdr>
    </w:div>
    <w:div w:id="2023899184">
      <w:bodyDiv w:val="1"/>
      <w:marLeft w:val="0"/>
      <w:marRight w:val="0"/>
      <w:marTop w:val="0"/>
      <w:marBottom w:val="0"/>
      <w:divBdr>
        <w:top w:val="none" w:sz="0" w:space="0" w:color="auto"/>
        <w:left w:val="none" w:sz="0" w:space="0" w:color="auto"/>
        <w:bottom w:val="none" w:sz="0" w:space="0" w:color="auto"/>
        <w:right w:val="none" w:sz="0" w:space="0" w:color="auto"/>
      </w:divBdr>
    </w:div>
    <w:div w:id="21460033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iRzQnRyvtp8OOktPlm+BbwbUOQ==">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4AHIhMVVvWHFKM3h1d3JhSkR6TFpVLW13MWdqcDItQ1NYTUl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462</TotalTime>
  <Pages>2</Pages>
  <Words>276</Words>
  <Characters>1519</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Máryury Salazar Leyva</dc:creator>
  <cp:lastModifiedBy>JHOAN</cp:lastModifiedBy>
  <cp:revision>22</cp:revision>
  <dcterms:created xsi:type="dcterms:W3CDTF">2026-05-21T02:40:00Z</dcterms:created>
  <dcterms:modified xsi:type="dcterms:W3CDTF">2026-06-13T00:44:00Z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alizcano@udi.edu.co@www.mendeley.com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http://www.zotero.org/styles/iso690-author-date-es</vt:lpwstr>
  </property>
  <property fmtid="{D5CDD505-2E9C-101B-9397-08002B2CF9AE}" pid="20" name="Mendeley Recent Style Name 7_1">
    <vt:lpwstr>ISO-690 (author-date, Spanish)</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7th edition</vt:lpwstr>
  </property>
</Properties>
</file>